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36" w:rsidRDefault="00BE6136" w:rsidP="00FE2590">
      <w:pPr>
        <w:keepNext/>
        <w:spacing w:before="240" w:after="60" w:line="276" w:lineRule="auto"/>
        <w:jc w:val="both"/>
        <w:outlineLvl w:val="0"/>
        <w:rPr>
          <w:rFonts w:ascii="Calibri" w:eastAsia="Times New Roman" w:hAnsi="Calibri"/>
          <w:b/>
          <w:bCs/>
          <w:kern w:val="32"/>
          <w:sz w:val="22"/>
          <w:szCs w:val="22"/>
        </w:rPr>
      </w:pPr>
      <w:r w:rsidRPr="00BE6136">
        <w:rPr>
          <w:rFonts w:ascii="Calibri" w:eastAsia="Times New Roman" w:hAnsi="Calibri"/>
          <w:b/>
          <w:bCs/>
          <w:kern w:val="32"/>
          <w:sz w:val="22"/>
          <w:szCs w:val="22"/>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A5598F">
        <w:rPr>
          <w:rFonts w:ascii="Calibri" w:hAnsi="Calibri"/>
          <w:sz w:val="22"/>
          <w:szCs w:val="22"/>
        </w:rPr>
        <w:t>skanów</w:t>
      </w:r>
      <w:proofErr w:type="spellEnd"/>
      <w:r w:rsidRPr="00A5598F">
        <w:rPr>
          <w:rFonts w:ascii="Calibri" w:hAnsi="Calibri"/>
          <w:sz w:val="22"/>
          <w:szCs w:val="22"/>
        </w:rPr>
        <w:t xml:space="preserve">.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1"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2"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3"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4"/>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13" w:rsidRDefault="00B61313" w:rsidP="00FE2590">
      <w:r>
        <w:separator/>
      </w:r>
    </w:p>
  </w:endnote>
  <w:endnote w:type="continuationSeparator" w:id="0">
    <w:p w:rsidR="00B61313" w:rsidRDefault="00B6131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4566D7" w:rsidRDefault="00026E40">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BE6136">
      <w:rPr>
        <w:rFonts w:ascii="Calibri" w:hAnsi="Calibri"/>
        <w:noProof/>
        <w:sz w:val="20"/>
        <w:szCs w:val="20"/>
      </w:rPr>
      <w:t>- 41 -</w:t>
    </w:r>
    <w:r w:rsidRPr="004566D7">
      <w:rPr>
        <w:rFonts w:ascii="Calibri" w:hAnsi="Calibri"/>
        <w:sz w:val="20"/>
        <w:szCs w:val="20"/>
      </w:rPr>
      <w:fldChar w:fldCharType="end"/>
    </w:r>
  </w:p>
  <w:p w:rsidR="00473EE0" w:rsidRDefault="00473E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D42C8B" w:rsidRDefault="00026E40">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BE6136">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13" w:rsidRDefault="00B61313" w:rsidP="00FE2590">
      <w:r>
        <w:separator/>
      </w:r>
    </w:p>
  </w:footnote>
  <w:footnote w:type="continuationSeparator" w:id="0">
    <w:p w:rsidR="00B61313" w:rsidRDefault="00B61313"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w:t>
      </w:r>
      <w:proofErr w:type="spellStart"/>
      <w:r w:rsidRPr="00A5598F">
        <w:rPr>
          <w:rFonts w:ascii="Calibri" w:hAnsi="Calibri"/>
          <w:sz w:val="16"/>
          <w:szCs w:val="16"/>
        </w:rPr>
        <w:t>cross-financingiem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FE2590"/>
    <w:rsid w:val="00001CA4"/>
    <w:rsid w:val="000223D0"/>
    <w:rsid w:val="00026E4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E613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58E0-1B91-4149-9413-0D0021C9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13733</Words>
  <Characters>82402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95944</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Barbara</cp:lastModifiedBy>
  <cp:revision>3</cp:revision>
  <cp:lastPrinted>2019-01-22T07:13:00Z</cp:lastPrinted>
  <dcterms:created xsi:type="dcterms:W3CDTF">2019-01-23T08:19:00Z</dcterms:created>
  <dcterms:modified xsi:type="dcterms:W3CDTF">2019-03-21T14:40:00Z</dcterms:modified>
</cp:coreProperties>
</file>